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F70C" w14:textId="3720A0B4" w:rsidR="00911F3B" w:rsidRPr="00911F3B" w:rsidRDefault="0074753E" w:rsidP="00911F3B">
      <w:pPr>
        <w:shd w:val="clear" w:color="auto" w:fill="FFFFFF"/>
        <w:spacing w:after="0" w:line="240" w:lineRule="auto"/>
        <w:textAlignment w:val="baseline"/>
        <w:rPr>
          <w:rFonts w:ascii="Arial" w:eastAsia="Times New Roman" w:hAnsi="Arial" w:cs="Arial"/>
          <w:b/>
          <w:bCs/>
          <w:color w:val="333333"/>
          <w:sz w:val="24"/>
          <w:szCs w:val="24"/>
          <w:lang w:eastAsia="en-AU"/>
        </w:rPr>
      </w:pPr>
      <w:bookmarkStart w:id="0" w:name="_GoBack"/>
      <w:bookmarkEnd w:id="0"/>
      <w:r>
        <w:rPr>
          <w:rFonts w:ascii="Arial" w:eastAsia="Times New Roman" w:hAnsi="Arial" w:cs="Arial"/>
          <w:b/>
          <w:bCs/>
          <w:color w:val="333333"/>
          <w:sz w:val="24"/>
          <w:szCs w:val="24"/>
          <w:lang w:eastAsia="en-AU"/>
        </w:rPr>
        <w:t xml:space="preserve">Appendix 1 - </w:t>
      </w:r>
      <w:proofErr w:type="spellStart"/>
      <w:r w:rsidR="00911F3B" w:rsidRPr="00911F3B">
        <w:rPr>
          <w:rFonts w:ascii="Arial" w:eastAsia="Times New Roman" w:hAnsi="Arial" w:cs="Arial"/>
          <w:b/>
          <w:bCs/>
          <w:color w:val="333333"/>
          <w:sz w:val="24"/>
          <w:szCs w:val="24"/>
          <w:lang w:eastAsia="en-AU"/>
        </w:rPr>
        <w:t>Jobkeeper</w:t>
      </w:r>
      <w:proofErr w:type="spellEnd"/>
      <w:r w:rsidR="00911F3B" w:rsidRPr="00911F3B">
        <w:rPr>
          <w:rFonts w:ascii="Arial" w:eastAsia="Times New Roman" w:hAnsi="Arial" w:cs="Arial"/>
          <w:b/>
          <w:bCs/>
          <w:color w:val="333333"/>
          <w:sz w:val="24"/>
          <w:szCs w:val="24"/>
          <w:lang w:eastAsia="en-AU"/>
        </w:rPr>
        <w:t xml:space="preserve"> update </w:t>
      </w:r>
      <w:r>
        <w:rPr>
          <w:rFonts w:ascii="Arial" w:eastAsia="Times New Roman" w:hAnsi="Arial" w:cs="Arial"/>
          <w:b/>
          <w:bCs/>
          <w:color w:val="333333"/>
          <w:sz w:val="24"/>
          <w:szCs w:val="24"/>
          <w:lang w:eastAsia="en-AU"/>
        </w:rPr>
        <w:t>14.04.20</w:t>
      </w:r>
    </w:p>
    <w:p w14:paraId="26C15777" w14:textId="77777777" w:rsidR="0074753E" w:rsidRDefault="0074753E" w:rsidP="00911F3B">
      <w:pPr>
        <w:shd w:val="clear" w:color="auto" w:fill="FFFFFF"/>
        <w:spacing w:after="0" w:line="240" w:lineRule="auto"/>
        <w:textAlignment w:val="baseline"/>
        <w:rPr>
          <w:rFonts w:ascii="Arial" w:eastAsia="Times New Roman" w:hAnsi="Arial" w:cs="Arial"/>
          <w:color w:val="333333"/>
          <w:sz w:val="24"/>
          <w:szCs w:val="24"/>
          <w:lang w:eastAsia="en-AU"/>
        </w:rPr>
      </w:pPr>
    </w:p>
    <w:p w14:paraId="79330E38" w14:textId="0BEB4EFD" w:rsidR="00911F3B" w:rsidRPr="00911F3B" w:rsidRDefault="00911F3B" w:rsidP="00911F3B">
      <w:pPr>
        <w:shd w:val="clear" w:color="auto" w:fill="FFFFFF"/>
        <w:spacing w:after="0" w:line="240" w:lineRule="auto"/>
        <w:textAlignment w:val="baseline"/>
        <w:rPr>
          <w:rFonts w:eastAsia="Times New Roman" w:cstheme="minorHAnsi"/>
          <w:color w:val="333333"/>
          <w:lang w:eastAsia="en-AU"/>
        </w:rPr>
      </w:pPr>
      <w:r w:rsidRPr="00911F3B">
        <w:rPr>
          <w:rFonts w:eastAsia="Times New Roman" w:cstheme="minorHAnsi"/>
          <w:color w:val="333333"/>
          <w:lang w:eastAsia="en-AU"/>
        </w:rPr>
        <w:t xml:space="preserve">On 8 April 2020, the Coronavirus Economic Response Package Omnibus (Measures No. 2) Bill 2020 (the Bill) was passed by Parliament to introduce the </w:t>
      </w:r>
      <w:proofErr w:type="spellStart"/>
      <w:r w:rsidRPr="00911F3B">
        <w:rPr>
          <w:rFonts w:eastAsia="Times New Roman" w:cstheme="minorHAnsi"/>
          <w:color w:val="333333"/>
          <w:lang w:eastAsia="en-AU"/>
        </w:rPr>
        <w:t>JobKeeper</w:t>
      </w:r>
      <w:proofErr w:type="spellEnd"/>
      <w:r w:rsidRPr="00911F3B">
        <w:rPr>
          <w:rFonts w:eastAsia="Times New Roman" w:cstheme="minorHAnsi"/>
          <w:color w:val="333333"/>
          <w:lang w:eastAsia="en-AU"/>
        </w:rPr>
        <w:t xml:space="preserve"> payment. Eligible employers who have been affected by COVID-19 can apply to the Australian Taxation Office (ATO) to access a subsidy from the Government of $1,500 per fortnight for each eligible employee from 30 March 2020 – 27 September 2020. In order to receive the </w:t>
      </w:r>
      <w:proofErr w:type="spellStart"/>
      <w:r w:rsidRPr="00911F3B">
        <w:rPr>
          <w:rFonts w:eastAsia="Times New Roman" w:cstheme="minorHAnsi"/>
          <w:color w:val="333333"/>
          <w:lang w:eastAsia="en-AU"/>
        </w:rPr>
        <w:t>JobKeeper</w:t>
      </w:r>
      <w:proofErr w:type="spellEnd"/>
      <w:r w:rsidRPr="00911F3B">
        <w:rPr>
          <w:rFonts w:eastAsia="Times New Roman" w:cstheme="minorHAnsi"/>
          <w:color w:val="333333"/>
          <w:lang w:eastAsia="en-AU"/>
        </w:rPr>
        <w:t>, there are three things you need:</w:t>
      </w:r>
      <w:r w:rsidRPr="00911F3B">
        <w:rPr>
          <w:rFonts w:eastAsia="Times New Roman" w:cstheme="minorHAnsi"/>
          <w:color w:val="333333"/>
          <w:lang w:eastAsia="en-AU"/>
        </w:rPr>
        <w:br/>
      </w:r>
      <w:r w:rsidRPr="00911F3B">
        <w:rPr>
          <w:rFonts w:eastAsia="Times New Roman" w:cstheme="minorHAnsi"/>
          <w:color w:val="333333"/>
          <w:lang w:eastAsia="en-AU"/>
        </w:rPr>
        <w:br/>
        <w:t>(1) you are an eligible employer;</w:t>
      </w:r>
      <w:r w:rsidRPr="00911F3B">
        <w:rPr>
          <w:rFonts w:eastAsia="Times New Roman" w:cstheme="minorHAnsi"/>
          <w:color w:val="333333"/>
          <w:lang w:eastAsia="en-AU"/>
        </w:rPr>
        <w:br/>
        <w:t>(2) you have an eligible employee; and</w:t>
      </w:r>
      <w:r w:rsidRPr="00911F3B">
        <w:rPr>
          <w:rFonts w:eastAsia="Times New Roman" w:cstheme="minorHAnsi"/>
          <w:color w:val="333333"/>
          <w:lang w:eastAsia="en-AU"/>
        </w:rPr>
        <w:br/>
        <w:t>(3) you have met the wage condition.</w:t>
      </w:r>
      <w:r w:rsidRPr="00911F3B">
        <w:rPr>
          <w:rFonts w:eastAsia="Times New Roman" w:cstheme="minorHAnsi"/>
          <w:color w:val="333333"/>
          <w:lang w:eastAsia="en-AU"/>
        </w:rPr>
        <w:br/>
        <w:t> </w:t>
      </w:r>
      <w:r w:rsidRPr="00911F3B">
        <w:rPr>
          <w:rFonts w:eastAsia="Times New Roman" w:cstheme="minorHAnsi"/>
          <w:color w:val="333333"/>
          <w:lang w:eastAsia="en-AU"/>
        </w:rPr>
        <w:br/>
        <w:t>The legislation has been drafted in such a way that the Treasurer will be able to make rules to govern these payments as he sees fit to allow for flexibility and to allow for changes to be introduced and revisions be made appropriately in a timely manner. To complement the Bill, the Treasurer released the Coronavirus Economic Response Package (Payments and Benefits) Rules 2020 (the Rules) detailing the eligibility requirements.</w:t>
      </w:r>
      <w:r w:rsidRPr="00911F3B">
        <w:rPr>
          <w:rFonts w:eastAsia="Times New Roman" w:cstheme="minorHAnsi"/>
          <w:color w:val="333333"/>
          <w:lang w:eastAsia="en-AU"/>
        </w:rPr>
        <w:br/>
        <w:t> </w:t>
      </w:r>
      <w:r w:rsidRPr="00911F3B">
        <w:rPr>
          <w:rFonts w:eastAsia="Times New Roman" w:cstheme="minorHAnsi"/>
          <w:color w:val="333333"/>
          <w:lang w:eastAsia="en-AU"/>
        </w:rPr>
        <w:br/>
        <w:t>The Rules are currently in a </w:t>
      </w:r>
      <w:r w:rsidRPr="00911F3B">
        <w:rPr>
          <w:rFonts w:eastAsia="Times New Roman" w:cstheme="minorHAnsi"/>
          <w:b/>
          <w:bCs/>
          <w:i/>
          <w:iCs/>
          <w:color w:val="333333"/>
          <w:bdr w:val="none" w:sz="0" w:space="0" w:color="auto" w:frame="1"/>
          <w:lang w:eastAsia="en-AU"/>
        </w:rPr>
        <w:t>draft form</w:t>
      </w:r>
      <w:r w:rsidRPr="00911F3B">
        <w:rPr>
          <w:rFonts w:eastAsia="Times New Roman" w:cstheme="minorHAnsi"/>
          <w:color w:val="333333"/>
          <w:lang w:eastAsia="en-AU"/>
        </w:rPr>
        <w:t> and tend to mirror the Treasury factsheets and FAQs released over the last week or so. We have considered some of the key requirements and changes below.</w:t>
      </w:r>
      <w:r w:rsidRPr="00911F3B">
        <w:rPr>
          <w:rFonts w:eastAsia="Times New Roman" w:cstheme="minorHAnsi"/>
          <w:color w:val="333333"/>
          <w:lang w:eastAsia="en-AU"/>
        </w:rPr>
        <w:br/>
      </w:r>
      <w:r w:rsidRPr="00911F3B">
        <w:rPr>
          <w:rFonts w:eastAsia="Times New Roman" w:cstheme="minorHAnsi"/>
          <w:color w:val="333333"/>
          <w:lang w:eastAsia="en-AU"/>
        </w:rPr>
        <w:br/>
      </w:r>
      <w:r w:rsidRPr="00911F3B">
        <w:rPr>
          <w:rFonts w:eastAsia="Times New Roman" w:cstheme="minorHAnsi"/>
          <w:b/>
          <w:bCs/>
          <w:color w:val="333333"/>
          <w:bdr w:val="none" w:sz="0" w:space="0" w:color="auto" w:frame="1"/>
          <w:lang w:eastAsia="en-AU"/>
        </w:rPr>
        <w:t>Eligible employer</w:t>
      </w:r>
      <w:r w:rsidRPr="00911F3B">
        <w:rPr>
          <w:rFonts w:eastAsia="Times New Roman" w:cstheme="minorHAnsi"/>
          <w:color w:val="333333"/>
          <w:lang w:eastAsia="en-AU"/>
        </w:rPr>
        <w:br/>
        <w:t>Eligible employers relate to:</w:t>
      </w:r>
      <w:r w:rsidRPr="00911F3B">
        <w:rPr>
          <w:rFonts w:eastAsia="Times New Roman" w:cstheme="minorHAnsi"/>
          <w:color w:val="333333"/>
          <w:lang w:eastAsia="en-AU"/>
        </w:rPr>
        <w:br/>
        <w:t> </w:t>
      </w:r>
    </w:p>
    <w:p w14:paraId="36B57394" w14:textId="77777777" w:rsidR="00911F3B" w:rsidRPr="00911F3B" w:rsidRDefault="00911F3B" w:rsidP="00911F3B">
      <w:pPr>
        <w:numPr>
          <w:ilvl w:val="0"/>
          <w:numId w:val="1"/>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A business (or not-for profit) whose:</w:t>
      </w:r>
    </w:p>
    <w:p w14:paraId="6A1FCAB5" w14:textId="77777777" w:rsidR="00911F3B" w:rsidRPr="00911F3B" w:rsidRDefault="00911F3B" w:rsidP="00911F3B">
      <w:pPr>
        <w:numPr>
          <w:ilvl w:val="1"/>
          <w:numId w:val="1"/>
        </w:numPr>
        <w:shd w:val="clear" w:color="auto" w:fill="FFFFFF"/>
        <w:spacing w:after="120" w:line="240" w:lineRule="auto"/>
        <w:ind w:left="615"/>
        <w:textAlignment w:val="baseline"/>
        <w:rPr>
          <w:rFonts w:eastAsia="Times New Roman" w:cstheme="minorHAnsi"/>
          <w:color w:val="333333"/>
          <w:lang w:eastAsia="en-AU"/>
        </w:rPr>
      </w:pPr>
      <w:r w:rsidRPr="00911F3B">
        <w:rPr>
          <w:rFonts w:eastAsia="Times New Roman" w:cstheme="minorHAnsi"/>
          <w:color w:val="333333"/>
          <w:lang w:eastAsia="en-AU"/>
        </w:rPr>
        <w:t>projected GST turnover has reduced by 30% or more (to a comparable period a year ago of at least one month) if their aggregated turnover is less than $1 billion; or</w:t>
      </w:r>
    </w:p>
    <w:p w14:paraId="60B068B4" w14:textId="77777777" w:rsidR="00911F3B" w:rsidRPr="00911F3B" w:rsidRDefault="00911F3B" w:rsidP="00911F3B">
      <w:pPr>
        <w:numPr>
          <w:ilvl w:val="1"/>
          <w:numId w:val="1"/>
        </w:numPr>
        <w:shd w:val="clear" w:color="auto" w:fill="FFFFFF"/>
        <w:spacing w:after="120" w:line="240" w:lineRule="auto"/>
        <w:ind w:left="615"/>
        <w:textAlignment w:val="baseline"/>
        <w:rPr>
          <w:rFonts w:eastAsia="Times New Roman" w:cstheme="minorHAnsi"/>
          <w:color w:val="333333"/>
          <w:lang w:eastAsia="en-AU"/>
        </w:rPr>
      </w:pPr>
      <w:r w:rsidRPr="00911F3B">
        <w:rPr>
          <w:rFonts w:eastAsia="Times New Roman" w:cstheme="minorHAnsi"/>
          <w:color w:val="333333"/>
          <w:lang w:eastAsia="en-AU"/>
        </w:rPr>
        <w:t>projected GST turnover has reduced by 50% or more (to a comparable period a year ago of at least one month) if their aggregated turnover is more than $1 billion.</w:t>
      </w:r>
    </w:p>
    <w:p w14:paraId="6AADB142" w14:textId="77777777" w:rsidR="00911F3B" w:rsidRPr="00911F3B" w:rsidRDefault="00911F3B" w:rsidP="00911F3B">
      <w:pPr>
        <w:numPr>
          <w:ilvl w:val="0"/>
          <w:numId w:val="1"/>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A charity registered with the ACNC (other than schools and certain entities listed in the Higher education Support Act 2003)</w:t>
      </w:r>
    </w:p>
    <w:p w14:paraId="24761216" w14:textId="77777777" w:rsidR="00911F3B" w:rsidRPr="00911F3B" w:rsidRDefault="00911F3B" w:rsidP="00911F3B">
      <w:pPr>
        <w:numPr>
          <w:ilvl w:val="1"/>
          <w:numId w:val="1"/>
        </w:numPr>
        <w:shd w:val="clear" w:color="auto" w:fill="FFFFFF"/>
        <w:spacing w:after="120" w:line="240" w:lineRule="auto"/>
        <w:ind w:left="615"/>
        <w:textAlignment w:val="baseline"/>
        <w:rPr>
          <w:rFonts w:eastAsia="Times New Roman" w:cstheme="minorHAnsi"/>
          <w:color w:val="333333"/>
          <w:lang w:eastAsia="en-AU"/>
        </w:rPr>
      </w:pPr>
      <w:r w:rsidRPr="00911F3B">
        <w:rPr>
          <w:rFonts w:eastAsia="Times New Roman" w:cstheme="minorHAnsi"/>
          <w:color w:val="333333"/>
          <w:lang w:eastAsia="en-AU"/>
        </w:rPr>
        <w:t>whose projected GST turnover has reduced by 15% or more (to a comparable period a year ago of at least one month)</w:t>
      </w:r>
    </w:p>
    <w:p w14:paraId="6C20566D" w14:textId="62BD1C15" w:rsidR="0074753E" w:rsidRDefault="00911F3B" w:rsidP="00911F3B">
      <w:pPr>
        <w:shd w:val="clear" w:color="auto" w:fill="FFFFFF"/>
        <w:spacing w:after="0" w:line="240" w:lineRule="auto"/>
        <w:textAlignment w:val="baseline"/>
        <w:rPr>
          <w:rFonts w:eastAsia="Times New Roman" w:cstheme="minorHAnsi"/>
          <w:color w:val="333333"/>
          <w:lang w:eastAsia="en-AU"/>
        </w:rPr>
      </w:pPr>
      <w:r w:rsidRPr="00911F3B">
        <w:rPr>
          <w:rFonts w:eastAsia="Times New Roman" w:cstheme="minorHAnsi"/>
          <w:color w:val="333333"/>
          <w:lang w:eastAsia="en-AU"/>
        </w:rPr>
        <w:t>Certain employers are ineligible to receive this payment including (but not limited to) government agencies, local governments, companies in liquidation and individuals undergoing bankruptcy.</w:t>
      </w:r>
      <w:r w:rsidRPr="00911F3B">
        <w:rPr>
          <w:rFonts w:eastAsia="Times New Roman" w:cstheme="minorHAnsi"/>
          <w:color w:val="333333"/>
          <w:lang w:eastAsia="en-AU"/>
        </w:rPr>
        <w:br/>
        <w:t> </w:t>
      </w:r>
      <w:r w:rsidRPr="00911F3B">
        <w:rPr>
          <w:rFonts w:eastAsia="Times New Roman" w:cstheme="minorHAnsi"/>
          <w:color w:val="333333"/>
          <w:lang w:eastAsia="en-AU"/>
        </w:rPr>
        <w:br/>
        <w:t>The ATO will also have discretion and businesses may be eligible to receive the payment if the turnover reduction requirements are not met– we expect the ATO to release guidance on this soon. Businesses that have not been considered in these rules are those that have been in operation for less than 12 months.</w:t>
      </w:r>
      <w:r w:rsidRPr="00911F3B">
        <w:rPr>
          <w:rFonts w:eastAsia="Times New Roman" w:cstheme="minorHAnsi"/>
          <w:color w:val="333333"/>
          <w:lang w:eastAsia="en-AU"/>
        </w:rPr>
        <w:br/>
        <w:t> </w:t>
      </w:r>
      <w:r w:rsidRPr="00911F3B">
        <w:rPr>
          <w:rFonts w:eastAsia="Times New Roman" w:cstheme="minorHAnsi"/>
          <w:color w:val="333333"/>
          <w:lang w:eastAsia="en-AU"/>
        </w:rPr>
        <w:br/>
      </w:r>
      <w:r w:rsidRPr="00911F3B">
        <w:rPr>
          <w:rFonts w:eastAsia="Times New Roman" w:cstheme="minorHAnsi"/>
          <w:b/>
          <w:bCs/>
          <w:color w:val="333333"/>
          <w:bdr w:val="none" w:sz="0" w:space="0" w:color="auto" w:frame="1"/>
          <w:lang w:eastAsia="en-AU"/>
        </w:rPr>
        <w:t>Meaning of the word turnover</w:t>
      </w:r>
      <w:r w:rsidRPr="00911F3B">
        <w:rPr>
          <w:rFonts w:eastAsia="Times New Roman" w:cstheme="minorHAnsi"/>
          <w:color w:val="333333"/>
          <w:lang w:eastAsia="en-AU"/>
        </w:rPr>
        <w:br/>
        <w:t>The key changes introduced in the Rules from the initial Treasury documents are the meaning of the word “turnover” which has various definitions across our tax acts. </w:t>
      </w:r>
      <w:r w:rsidRPr="00911F3B">
        <w:rPr>
          <w:rFonts w:eastAsia="Times New Roman" w:cstheme="minorHAnsi"/>
          <w:color w:val="333333"/>
          <w:lang w:eastAsia="en-AU"/>
        </w:rPr>
        <w:br/>
        <w:t> </w:t>
      </w:r>
    </w:p>
    <w:p w14:paraId="60A0990D" w14:textId="28ED1F90" w:rsidR="00911F3B" w:rsidRPr="00911F3B" w:rsidRDefault="00911F3B" w:rsidP="00911F3B">
      <w:pPr>
        <w:shd w:val="clear" w:color="auto" w:fill="FFFFFF"/>
        <w:spacing w:after="0" w:line="240" w:lineRule="auto"/>
        <w:textAlignment w:val="baseline"/>
        <w:rPr>
          <w:rFonts w:eastAsia="Times New Roman" w:cstheme="minorHAnsi"/>
          <w:color w:val="333333"/>
          <w:lang w:eastAsia="en-AU"/>
        </w:rPr>
      </w:pPr>
      <w:r w:rsidRPr="00911F3B">
        <w:rPr>
          <w:rFonts w:eastAsia="Times New Roman" w:cstheme="minorHAnsi"/>
          <w:color w:val="333333"/>
          <w:lang w:eastAsia="en-AU"/>
        </w:rPr>
        <w:t>For the </w:t>
      </w:r>
      <w:r w:rsidRPr="00911F3B">
        <w:rPr>
          <w:rFonts w:eastAsia="Times New Roman" w:cstheme="minorHAnsi"/>
          <w:b/>
          <w:bCs/>
          <w:color w:val="333333"/>
          <w:u w:val="single"/>
          <w:bdr w:val="none" w:sz="0" w:space="0" w:color="auto" w:frame="1"/>
          <w:lang w:eastAsia="en-AU"/>
        </w:rPr>
        <w:t>purposes of determining whether you need to show a 30% or 50% decline in turnover</w:t>
      </w:r>
      <w:r w:rsidRPr="00911F3B">
        <w:rPr>
          <w:rFonts w:eastAsia="Times New Roman" w:cstheme="minorHAnsi"/>
          <w:color w:val="333333"/>
          <w:lang w:eastAsia="en-AU"/>
        </w:rPr>
        <w:t>, that is whether your turnover is less or more than $1 billion, the Rules specify that you must consider your </w:t>
      </w:r>
      <w:r w:rsidRPr="00911F3B">
        <w:rPr>
          <w:rFonts w:eastAsia="Times New Roman" w:cstheme="minorHAnsi"/>
          <w:b/>
          <w:bCs/>
          <w:i/>
          <w:iCs/>
          <w:color w:val="333333"/>
          <w:u w:val="single"/>
          <w:bdr w:val="none" w:sz="0" w:space="0" w:color="auto" w:frame="1"/>
          <w:lang w:eastAsia="en-AU"/>
        </w:rPr>
        <w:t>aggregated turnover </w:t>
      </w:r>
      <w:r w:rsidRPr="00911F3B">
        <w:rPr>
          <w:rFonts w:eastAsia="Times New Roman" w:cstheme="minorHAnsi"/>
          <w:color w:val="333333"/>
          <w:lang w:eastAsia="en-AU"/>
        </w:rPr>
        <w:t xml:space="preserve">which would include the turnover of your affiliates and/or connected entities. For example, if your entity is subject to the Significant Global Entity reporting requirements </w:t>
      </w:r>
      <w:r w:rsidRPr="00911F3B">
        <w:rPr>
          <w:rFonts w:eastAsia="Times New Roman" w:cstheme="minorHAnsi"/>
          <w:color w:val="333333"/>
          <w:lang w:eastAsia="en-AU"/>
        </w:rPr>
        <w:lastRenderedPageBreak/>
        <w:t>(which generally apply where a group’s worldwide turnover of more than $1 billion), it is likely that you may need to show a decline of 50% in turnover to show you are entitled to the payment.</w:t>
      </w:r>
      <w:r w:rsidRPr="00911F3B">
        <w:rPr>
          <w:rFonts w:eastAsia="Times New Roman" w:cstheme="minorHAnsi"/>
          <w:color w:val="333333"/>
          <w:lang w:eastAsia="en-AU"/>
        </w:rPr>
        <w:br/>
        <w:t> </w:t>
      </w:r>
      <w:r w:rsidRPr="00911F3B">
        <w:rPr>
          <w:rFonts w:eastAsia="Times New Roman" w:cstheme="minorHAnsi"/>
          <w:color w:val="333333"/>
          <w:lang w:eastAsia="en-AU"/>
        </w:rPr>
        <w:br/>
        <w:t>For the </w:t>
      </w:r>
      <w:r w:rsidRPr="00911F3B">
        <w:rPr>
          <w:rFonts w:eastAsia="Times New Roman" w:cstheme="minorHAnsi"/>
          <w:b/>
          <w:bCs/>
          <w:color w:val="333333"/>
          <w:u w:val="single"/>
          <w:bdr w:val="none" w:sz="0" w:space="0" w:color="auto" w:frame="1"/>
          <w:lang w:eastAsia="en-AU"/>
        </w:rPr>
        <w:t>purposes of comparison to prior year’s turnover</w:t>
      </w:r>
      <w:r w:rsidRPr="00911F3B">
        <w:rPr>
          <w:rFonts w:eastAsia="Times New Roman" w:cstheme="minorHAnsi"/>
          <w:color w:val="333333"/>
          <w:lang w:eastAsia="en-AU"/>
        </w:rPr>
        <w:t>, you are required to compare your</w:t>
      </w:r>
      <w:r w:rsidRPr="00911F3B">
        <w:rPr>
          <w:rFonts w:eastAsia="Times New Roman" w:cstheme="minorHAnsi"/>
          <w:b/>
          <w:bCs/>
          <w:i/>
          <w:iCs/>
          <w:color w:val="333333"/>
          <w:u w:val="single"/>
          <w:bdr w:val="none" w:sz="0" w:space="0" w:color="auto" w:frame="1"/>
          <w:lang w:eastAsia="en-AU"/>
        </w:rPr>
        <w:t> projected GST turnover</w:t>
      </w:r>
      <w:r w:rsidRPr="00911F3B">
        <w:rPr>
          <w:rFonts w:eastAsia="Times New Roman" w:cstheme="minorHAnsi"/>
          <w:color w:val="333333"/>
          <w:lang w:eastAsia="en-AU"/>
        </w:rPr>
        <w:t> which is a concept contained in the GST Act.  Put simply it will be the estimated income that you would ordinarily include at G1 on your activity statement, excluding GST.</w:t>
      </w:r>
      <w:r w:rsidRPr="00911F3B">
        <w:rPr>
          <w:rFonts w:eastAsia="Times New Roman" w:cstheme="minorHAnsi"/>
          <w:color w:val="333333"/>
          <w:lang w:eastAsia="en-AU"/>
        </w:rPr>
        <w:br/>
        <w:t> </w:t>
      </w:r>
      <w:r w:rsidRPr="00911F3B">
        <w:rPr>
          <w:rFonts w:eastAsia="Times New Roman" w:cstheme="minorHAnsi"/>
          <w:color w:val="333333"/>
          <w:lang w:eastAsia="en-AU"/>
        </w:rPr>
        <w:br/>
      </w:r>
      <w:r w:rsidRPr="00911F3B">
        <w:rPr>
          <w:rFonts w:eastAsia="Times New Roman" w:cstheme="minorHAnsi"/>
          <w:b/>
          <w:bCs/>
          <w:color w:val="333333"/>
          <w:bdr w:val="none" w:sz="0" w:space="0" w:color="auto" w:frame="1"/>
          <w:lang w:eastAsia="en-AU"/>
        </w:rPr>
        <w:t>Comparing turnover to a comparable period</w:t>
      </w:r>
      <w:r w:rsidRPr="00911F3B">
        <w:rPr>
          <w:rFonts w:eastAsia="Times New Roman" w:cstheme="minorHAnsi"/>
          <w:color w:val="333333"/>
          <w:lang w:eastAsia="en-AU"/>
        </w:rPr>
        <w:br/>
        <w:t>The Rules state that an entity satisfies the 30% or 50% drop in turnover at a time (the test time) if its </w:t>
      </w:r>
      <w:r w:rsidRPr="00911F3B">
        <w:rPr>
          <w:rFonts w:eastAsia="Times New Roman" w:cstheme="minorHAnsi"/>
          <w:i/>
          <w:iCs/>
          <w:color w:val="333333"/>
          <w:bdr w:val="none" w:sz="0" w:space="0" w:color="auto" w:frame="1"/>
          <w:lang w:eastAsia="en-AU"/>
        </w:rPr>
        <w:t>projected</w:t>
      </w:r>
      <w:r w:rsidRPr="00911F3B">
        <w:rPr>
          <w:rFonts w:eastAsia="Times New Roman" w:cstheme="minorHAnsi"/>
          <w:color w:val="333333"/>
          <w:lang w:eastAsia="en-AU"/>
        </w:rPr>
        <w:t> GST turnover for a month or quarter falls short of the actual GST turnover for a comparable period last year by those percentages.</w:t>
      </w:r>
      <w:r w:rsidRPr="00911F3B">
        <w:rPr>
          <w:rFonts w:eastAsia="Times New Roman" w:cstheme="minorHAnsi"/>
          <w:color w:val="333333"/>
          <w:lang w:eastAsia="en-AU"/>
        </w:rPr>
        <w:br/>
      </w:r>
      <w:r w:rsidRPr="00911F3B">
        <w:rPr>
          <w:rFonts w:eastAsia="Times New Roman" w:cstheme="minorHAnsi"/>
          <w:color w:val="333333"/>
          <w:lang w:eastAsia="en-AU"/>
        </w:rPr>
        <w:br/>
        <w:t>The following example has been provided by the Treasury on how the comparison works:</w:t>
      </w:r>
      <w:r w:rsidRPr="00911F3B">
        <w:rPr>
          <w:rFonts w:eastAsia="Times New Roman" w:cstheme="minorHAnsi"/>
          <w:color w:val="333333"/>
          <w:lang w:eastAsia="en-AU"/>
        </w:rPr>
        <w:br/>
      </w:r>
      <w:r w:rsidRPr="00911F3B">
        <w:rPr>
          <w:rFonts w:eastAsia="Times New Roman" w:cstheme="minorHAnsi"/>
          <w:i/>
          <w:iCs/>
          <w:color w:val="333333"/>
          <w:bdr w:val="none" w:sz="0" w:space="0" w:color="auto" w:frame="1"/>
          <w:lang w:eastAsia="en-AU"/>
        </w:rPr>
        <w:t xml:space="preserve">Patrick Enterprises assesses its eligibility for </w:t>
      </w:r>
      <w:proofErr w:type="spellStart"/>
      <w:r w:rsidRPr="00911F3B">
        <w:rPr>
          <w:rFonts w:eastAsia="Times New Roman" w:cstheme="minorHAnsi"/>
          <w:i/>
          <w:iCs/>
          <w:color w:val="333333"/>
          <w:bdr w:val="none" w:sz="0" w:space="0" w:color="auto" w:frame="1"/>
          <w:lang w:eastAsia="en-AU"/>
        </w:rPr>
        <w:t>JobKeeper</w:t>
      </w:r>
      <w:proofErr w:type="spellEnd"/>
      <w:r w:rsidRPr="00911F3B">
        <w:rPr>
          <w:rFonts w:eastAsia="Times New Roman" w:cstheme="minorHAnsi"/>
          <w:i/>
          <w:iCs/>
          <w:color w:val="333333"/>
          <w:bdr w:val="none" w:sz="0" w:space="0" w:color="auto" w:frame="1"/>
          <w:lang w:eastAsia="en-AU"/>
        </w:rPr>
        <w:t xml:space="preserve"> payments on 6 April 2020 based on a projected GST turnover for April 2020 of $6 million. It considers that the comparable period is the month of April 2019 for which it had a current GST turnover of $10 million. The April 2020 turnover falls short of the April 2019 turnover by $4 million, which is 40% of the April 2019 turnover. This exceeds the specified percentage, so the decline in turnover test is satisfied.</w:t>
      </w:r>
      <w:r w:rsidRPr="00911F3B">
        <w:rPr>
          <w:rFonts w:eastAsia="Times New Roman" w:cstheme="minorHAnsi"/>
          <w:color w:val="333333"/>
          <w:lang w:eastAsia="en-AU"/>
        </w:rPr>
        <w:br/>
      </w:r>
      <w:r w:rsidRPr="00911F3B">
        <w:rPr>
          <w:rFonts w:eastAsia="Times New Roman" w:cstheme="minorHAnsi"/>
          <w:color w:val="333333"/>
          <w:lang w:eastAsia="en-AU"/>
        </w:rPr>
        <w:br/>
        <w:t>In the original Treasury papers, it was suggested that employers may need to compare their turnover based on their BAS lodg</w:t>
      </w:r>
      <w:r w:rsidR="0074753E">
        <w:rPr>
          <w:rFonts w:eastAsia="Times New Roman" w:cstheme="minorHAnsi"/>
          <w:color w:val="333333"/>
          <w:lang w:eastAsia="en-AU"/>
        </w:rPr>
        <w:t>e</w:t>
      </w:r>
      <w:r w:rsidRPr="00911F3B">
        <w:rPr>
          <w:rFonts w:eastAsia="Times New Roman" w:cstheme="minorHAnsi"/>
          <w:color w:val="333333"/>
          <w:lang w:eastAsia="en-AU"/>
        </w:rPr>
        <w:t>ment cycle (either monthly or quarterly) but it appears that requirement is not contained within the Rules giving quarterly lodgers some flexibility in applying for the payment e.g. test eligibility based on April alone rather than having to test their eligibility for the entire April- June period.</w:t>
      </w:r>
      <w:r w:rsidR="0074753E">
        <w:rPr>
          <w:rFonts w:eastAsia="Times New Roman" w:cstheme="minorHAnsi"/>
          <w:color w:val="333333"/>
          <w:lang w:eastAsia="en-AU"/>
        </w:rPr>
        <w:t xml:space="preserve"> </w:t>
      </w:r>
      <w:r w:rsidRPr="00911F3B">
        <w:rPr>
          <w:rFonts w:eastAsia="Times New Roman" w:cstheme="minorHAnsi"/>
          <w:color w:val="333333"/>
          <w:lang w:eastAsia="en-AU"/>
        </w:rPr>
        <w:t>Employers will need to notify their turnover to the ATO on a monthly basis to ensure they are eligible to claim the payment.</w:t>
      </w:r>
      <w:r w:rsidRPr="00911F3B">
        <w:rPr>
          <w:rFonts w:eastAsia="Times New Roman" w:cstheme="minorHAnsi"/>
          <w:color w:val="333333"/>
          <w:lang w:eastAsia="en-AU"/>
        </w:rPr>
        <w:br/>
      </w:r>
      <w:r w:rsidRPr="00911F3B">
        <w:rPr>
          <w:rFonts w:eastAsia="Times New Roman" w:cstheme="minorHAnsi"/>
          <w:color w:val="333333"/>
          <w:lang w:eastAsia="en-AU"/>
        </w:rPr>
        <w:br/>
      </w:r>
      <w:r w:rsidRPr="00911F3B">
        <w:rPr>
          <w:rFonts w:eastAsia="Times New Roman" w:cstheme="minorHAnsi"/>
          <w:b/>
          <w:bCs/>
          <w:color w:val="333333"/>
          <w:bdr w:val="none" w:sz="0" w:space="0" w:color="auto" w:frame="1"/>
          <w:lang w:eastAsia="en-AU"/>
        </w:rPr>
        <w:t>Eligible employees</w:t>
      </w:r>
      <w:r w:rsidRPr="00911F3B">
        <w:rPr>
          <w:rFonts w:eastAsia="Times New Roman" w:cstheme="minorHAnsi"/>
          <w:color w:val="333333"/>
          <w:lang w:eastAsia="en-AU"/>
        </w:rPr>
        <w:br/>
        <w:t>Eligible employees are defined as employees who:</w:t>
      </w:r>
      <w:r w:rsidRPr="00911F3B">
        <w:rPr>
          <w:rFonts w:eastAsia="Times New Roman" w:cstheme="minorHAnsi"/>
          <w:color w:val="333333"/>
          <w:lang w:eastAsia="en-AU"/>
        </w:rPr>
        <w:br/>
        <w:t> </w:t>
      </w:r>
    </w:p>
    <w:p w14:paraId="0C1C775F" w14:textId="77777777" w:rsidR="00911F3B" w:rsidRPr="00911F3B" w:rsidRDefault="00911F3B" w:rsidP="00911F3B">
      <w:pPr>
        <w:numPr>
          <w:ilvl w:val="0"/>
          <w:numId w:val="2"/>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 xml:space="preserve">were employed by the employer at 1 March </w:t>
      </w:r>
      <w:proofErr w:type="gramStart"/>
      <w:r w:rsidRPr="00911F3B">
        <w:rPr>
          <w:rFonts w:eastAsia="Times New Roman" w:cstheme="minorHAnsi"/>
          <w:color w:val="333333"/>
          <w:lang w:eastAsia="en-AU"/>
        </w:rPr>
        <w:t>2020;</w:t>
      </w:r>
      <w:proofErr w:type="gramEnd"/>
    </w:p>
    <w:p w14:paraId="3B1C1D5A" w14:textId="77777777" w:rsidR="00911F3B" w:rsidRPr="00911F3B" w:rsidRDefault="00911F3B" w:rsidP="00911F3B">
      <w:pPr>
        <w:numPr>
          <w:ilvl w:val="1"/>
          <w:numId w:val="2"/>
        </w:numPr>
        <w:shd w:val="clear" w:color="auto" w:fill="FFFFFF"/>
        <w:spacing w:after="120" w:line="240" w:lineRule="auto"/>
        <w:ind w:left="615"/>
        <w:textAlignment w:val="baseline"/>
        <w:rPr>
          <w:rFonts w:eastAsia="Times New Roman" w:cstheme="minorHAnsi"/>
          <w:color w:val="333333"/>
          <w:lang w:eastAsia="en-AU"/>
        </w:rPr>
      </w:pPr>
      <w:r w:rsidRPr="00911F3B">
        <w:rPr>
          <w:rFonts w:eastAsia="Times New Roman" w:cstheme="minorHAnsi"/>
          <w:color w:val="333333"/>
          <w:lang w:eastAsia="en-AU"/>
        </w:rPr>
        <w:t>full-time, part-time, or long-term casuals (a casual employed on a regular basis for longer than 12 months as at 1 March 2020</w:t>
      </w:r>
      <w:proofErr w:type="gramStart"/>
      <w:r w:rsidRPr="00911F3B">
        <w:rPr>
          <w:rFonts w:eastAsia="Times New Roman" w:cstheme="minorHAnsi"/>
          <w:color w:val="333333"/>
          <w:lang w:eastAsia="en-AU"/>
        </w:rPr>
        <w:t>);</w:t>
      </w:r>
      <w:proofErr w:type="gramEnd"/>
    </w:p>
    <w:p w14:paraId="409ED51F" w14:textId="77777777" w:rsidR="00911F3B" w:rsidRPr="00911F3B" w:rsidRDefault="00911F3B" w:rsidP="00911F3B">
      <w:pPr>
        <w:numPr>
          <w:ilvl w:val="0"/>
          <w:numId w:val="2"/>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 xml:space="preserve">are at least 16 years of age at 1 March </w:t>
      </w:r>
      <w:proofErr w:type="gramStart"/>
      <w:r w:rsidRPr="00911F3B">
        <w:rPr>
          <w:rFonts w:eastAsia="Times New Roman" w:cstheme="minorHAnsi"/>
          <w:color w:val="333333"/>
          <w:lang w:eastAsia="en-AU"/>
        </w:rPr>
        <w:t>2020;</w:t>
      </w:r>
      <w:proofErr w:type="gramEnd"/>
    </w:p>
    <w:p w14:paraId="2862CE6B" w14:textId="77777777" w:rsidR="00911F3B" w:rsidRPr="00911F3B" w:rsidRDefault="00911F3B" w:rsidP="00911F3B">
      <w:pPr>
        <w:numPr>
          <w:ilvl w:val="0"/>
          <w:numId w:val="2"/>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meet the residency requirements as follows:</w:t>
      </w:r>
    </w:p>
    <w:p w14:paraId="7195B5A3" w14:textId="77777777" w:rsidR="00911F3B" w:rsidRPr="00911F3B" w:rsidRDefault="00911F3B" w:rsidP="00911F3B">
      <w:pPr>
        <w:numPr>
          <w:ilvl w:val="1"/>
          <w:numId w:val="3"/>
        </w:numPr>
        <w:shd w:val="clear" w:color="auto" w:fill="FFFFFF"/>
        <w:spacing w:after="120" w:line="240" w:lineRule="auto"/>
        <w:ind w:left="615"/>
        <w:textAlignment w:val="baseline"/>
        <w:rPr>
          <w:rFonts w:eastAsia="Times New Roman" w:cstheme="minorHAnsi"/>
          <w:color w:val="333333"/>
          <w:lang w:eastAsia="en-AU"/>
        </w:rPr>
      </w:pPr>
      <w:r w:rsidRPr="00911F3B">
        <w:rPr>
          <w:rFonts w:eastAsia="Times New Roman" w:cstheme="minorHAnsi"/>
          <w:color w:val="333333"/>
          <w:lang w:eastAsia="en-AU"/>
        </w:rPr>
        <w:t>must be an Australian citizen / permanent resident and any other visa subclasses where they are considered resident under section 7 of the Social Security Act; or</w:t>
      </w:r>
    </w:p>
    <w:p w14:paraId="17661518" w14:textId="77777777" w:rsidR="00911F3B" w:rsidRPr="00911F3B" w:rsidRDefault="00911F3B" w:rsidP="00911F3B">
      <w:pPr>
        <w:numPr>
          <w:ilvl w:val="1"/>
          <w:numId w:val="3"/>
        </w:numPr>
        <w:shd w:val="clear" w:color="auto" w:fill="FFFFFF"/>
        <w:spacing w:after="0" w:line="240" w:lineRule="auto"/>
        <w:ind w:left="615"/>
        <w:textAlignment w:val="baseline"/>
        <w:rPr>
          <w:rFonts w:eastAsia="Times New Roman" w:cstheme="minorHAnsi"/>
          <w:color w:val="333333"/>
          <w:lang w:eastAsia="en-AU"/>
        </w:rPr>
      </w:pPr>
      <w:r w:rsidRPr="00911F3B">
        <w:rPr>
          <w:rFonts w:eastAsia="Times New Roman" w:cstheme="minorHAnsi"/>
          <w:color w:val="333333"/>
          <w:lang w:eastAsia="en-AU"/>
        </w:rPr>
        <w:t>Be a holder of a subclass 444 visa </w:t>
      </w:r>
      <w:r w:rsidRPr="00911F3B">
        <w:rPr>
          <w:rFonts w:eastAsia="Times New Roman" w:cstheme="minorHAnsi"/>
          <w:b/>
          <w:bCs/>
          <w:i/>
          <w:iCs/>
          <w:color w:val="333333"/>
          <w:bdr w:val="none" w:sz="0" w:space="0" w:color="auto" w:frame="1"/>
          <w:lang w:eastAsia="en-AU"/>
        </w:rPr>
        <w:t>and</w:t>
      </w:r>
      <w:r w:rsidRPr="00911F3B">
        <w:rPr>
          <w:rFonts w:eastAsia="Times New Roman" w:cstheme="minorHAnsi"/>
          <w:color w:val="333333"/>
          <w:lang w:eastAsia="en-AU"/>
        </w:rPr>
        <w:t> be a resident of Australia for income tax purposes.</w:t>
      </w:r>
    </w:p>
    <w:p w14:paraId="4243FC55" w14:textId="77777777" w:rsidR="00911F3B" w:rsidRPr="00911F3B" w:rsidRDefault="00911F3B" w:rsidP="00911F3B">
      <w:pPr>
        <w:numPr>
          <w:ilvl w:val="0"/>
          <w:numId w:val="3"/>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the individual is</w:t>
      </w:r>
    </w:p>
    <w:p w14:paraId="45340EB6" w14:textId="77777777" w:rsidR="00911F3B" w:rsidRPr="00911F3B" w:rsidRDefault="00911F3B" w:rsidP="00911F3B">
      <w:pPr>
        <w:numPr>
          <w:ilvl w:val="1"/>
          <w:numId w:val="4"/>
        </w:numPr>
        <w:shd w:val="clear" w:color="auto" w:fill="FFFFFF"/>
        <w:spacing w:after="120" w:line="240" w:lineRule="auto"/>
        <w:ind w:left="615"/>
        <w:textAlignment w:val="baseline"/>
        <w:rPr>
          <w:rFonts w:eastAsia="Times New Roman" w:cstheme="minorHAnsi"/>
          <w:color w:val="333333"/>
          <w:lang w:eastAsia="en-AU"/>
        </w:rPr>
      </w:pPr>
      <w:r w:rsidRPr="00911F3B">
        <w:rPr>
          <w:rFonts w:eastAsia="Times New Roman" w:cstheme="minorHAnsi"/>
          <w:color w:val="333333"/>
          <w:lang w:eastAsia="en-AU"/>
        </w:rPr>
        <w:t xml:space="preserve">Not in receipt of a </w:t>
      </w:r>
      <w:proofErr w:type="spellStart"/>
      <w:r w:rsidRPr="00911F3B">
        <w:rPr>
          <w:rFonts w:eastAsia="Times New Roman" w:cstheme="minorHAnsi"/>
          <w:color w:val="333333"/>
          <w:lang w:eastAsia="en-AU"/>
        </w:rPr>
        <w:t>JobKeeper</w:t>
      </w:r>
      <w:proofErr w:type="spellEnd"/>
      <w:r w:rsidRPr="00911F3B">
        <w:rPr>
          <w:rFonts w:eastAsia="Times New Roman" w:cstheme="minorHAnsi"/>
          <w:color w:val="333333"/>
          <w:lang w:eastAsia="en-AU"/>
        </w:rPr>
        <w:t xml:space="preserve"> Payment from another employer.</w:t>
      </w:r>
    </w:p>
    <w:p w14:paraId="7925410B" w14:textId="77777777" w:rsidR="00911F3B" w:rsidRPr="00911F3B" w:rsidRDefault="00911F3B" w:rsidP="00911F3B">
      <w:pPr>
        <w:numPr>
          <w:ilvl w:val="1"/>
          <w:numId w:val="4"/>
        </w:numPr>
        <w:shd w:val="clear" w:color="auto" w:fill="FFFFFF"/>
        <w:spacing w:after="120" w:line="240" w:lineRule="auto"/>
        <w:ind w:left="615"/>
        <w:textAlignment w:val="baseline"/>
        <w:rPr>
          <w:rFonts w:eastAsia="Times New Roman" w:cstheme="minorHAnsi"/>
          <w:color w:val="333333"/>
          <w:lang w:eastAsia="en-AU"/>
        </w:rPr>
      </w:pPr>
      <w:r w:rsidRPr="00911F3B">
        <w:rPr>
          <w:rFonts w:eastAsia="Times New Roman" w:cstheme="minorHAnsi"/>
          <w:color w:val="333333"/>
          <w:lang w:eastAsia="en-AU"/>
        </w:rPr>
        <w:t>Not in receipt of paid dad and partner pay</w:t>
      </w:r>
    </w:p>
    <w:p w14:paraId="253D368A" w14:textId="77777777" w:rsidR="00911F3B" w:rsidRPr="00911F3B" w:rsidRDefault="00911F3B" w:rsidP="00911F3B">
      <w:pPr>
        <w:numPr>
          <w:ilvl w:val="1"/>
          <w:numId w:val="4"/>
        </w:numPr>
        <w:shd w:val="clear" w:color="auto" w:fill="FFFFFF"/>
        <w:spacing w:after="120" w:line="240" w:lineRule="auto"/>
        <w:ind w:left="615"/>
        <w:textAlignment w:val="baseline"/>
        <w:rPr>
          <w:rFonts w:eastAsia="Times New Roman" w:cstheme="minorHAnsi"/>
          <w:color w:val="333333"/>
          <w:lang w:eastAsia="en-AU"/>
        </w:rPr>
      </w:pPr>
      <w:r w:rsidRPr="00911F3B">
        <w:rPr>
          <w:rFonts w:eastAsia="Times New Roman" w:cstheme="minorHAnsi"/>
          <w:color w:val="333333"/>
          <w:lang w:eastAsia="en-AU"/>
        </w:rPr>
        <w:t>Not totally incapacitated and receiving worker’s compensation during the relevant period</w:t>
      </w:r>
    </w:p>
    <w:p w14:paraId="45795644" w14:textId="77777777" w:rsidR="0074753E" w:rsidRDefault="00911F3B" w:rsidP="00911F3B">
      <w:pPr>
        <w:shd w:val="clear" w:color="auto" w:fill="FFFFFF"/>
        <w:spacing w:after="0" w:line="240" w:lineRule="auto"/>
        <w:textAlignment w:val="baseline"/>
        <w:rPr>
          <w:rFonts w:eastAsia="Times New Roman" w:cstheme="minorHAnsi"/>
          <w:b/>
          <w:bCs/>
          <w:color w:val="333333"/>
          <w:bdr w:val="none" w:sz="0" w:space="0" w:color="auto" w:frame="1"/>
          <w:lang w:eastAsia="en-AU"/>
        </w:rPr>
      </w:pPr>
      <w:r w:rsidRPr="00911F3B">
        <w:rPr>
          <w:rFonts w:eastAsia="Times New Roman" w:cstheme="minorHAnsi"/>
          <w:color w:val="333333"/>
          <w:lang w:eastAsia="en-AU"/>
        </w:rPr>
        <w:t>In practical terms, the persons who miss out from the payment include individuals on temporary visas and casual workers who were employed for less than one year.</w:t>
      </w:r>
      <w:r w:rsidRPr="00911F3B">
        <w:rPr>
          <w:rFonts w:eastAsia="Times New Roman" w:cstheme="minorHAnsi"/>
          <w:color w:val="333333"/>
          <w:lang w:eastAsia="en-AU"/>
        </w:rPr>
        <w:br/>
        <w:t> </w:t>
      </w:r>
      <w:r w:rsidRPr="00911F3B">
        <w:rPr>
          <w:rFonts w:eastAsia="Times New Roman" w:cstheme="minorHAnsi"/>
          <w:color w:val="333333"/>
          <w:lang w:eastAsia="en-AU"/>
        </w:rPr>
        <w:br/>
      </w:r>
    </w:p>
    <w:p w14:paraId="2A9ED892" w14:textId="77777777" w:rsidR="0074753E" w:rsidRDefault="0074753E" w:rsidP="00911F3B">
      <w:pPr>
        <w:shd w:val="clear" w:color="auto" w:fill="FFFFFF"/>
        <w:spacing w:after="0" w:line="240" w:lineRule="auto"/>
        <w:textAlignment w:val="baseline"/>
        <w:rPr>
          <w:rFonts w:eastAsia="Times New Roman" w:cstheme="minorHAnsi"/>
          <w:b/>
          <w:bCs/>
          <w:color w:val="333333"/>
          <w:bdr w:val="none" w:sz="0" w:space="0" w:color="auto" w:frame="1"/>
          <w:lang w:eastAsia="en-AU"/>
        </w:rPr>
      </w:pPr>
    </w:p>
    <w:p w14:paraId="38620335" w14:textId="2AE734C1" w:rsidR="00911F3B" w:rsidRPr="00911F3B" w:rsidRDefault="00911F3B" w:rsidP="00911F3B">
      <w:pPr>
        <w:shd w:val="clear" w:color="auto" w:fill="FFFFFF"/>
        <w:spacing w:after="0" w:line="240" w:lineRule="auto"/>
        <w:textAlignment w:val="baseline"/>
        <w:rPr>
          <w:rFonts w:eastAsia="Times New Roman" w:cstheme="minorHAnsi"/>
          <w:color w:val="333333"/>
          <w:lang w:eastAsia="en-AU"/>
        </w:rPr>
      </w:pPr>
      <w:r w:rsidRPr="00911F3B">
        <w:rPr>
          <w:rFonts w:eastAsia="Times New Roman" w:cstheme="minorHAnsi"/>
          <w:b/>
          <w:bCs/>
          <w:color w:val="333333"/>
          <w:bdr w:val="none" w:sz="0" w:space="0" w:color="auto" w:frame="1"/>
          <w:lang w:eastAsia="en-AU"/>
        </w:rPr>
        <w:lastRenderedPageBreak/>
        <w:t>Wage Condition</w:t>
      </w:r>
      <w:r w:rsidRPr="00911F3B">
        <w:rPr>
          <w:rFonts w:eastAsia="Times New Roman" w:cstheme="minorHAnsi"/>
          <w:color w:val="333333"/>
          <w:lang w:eastAsia="en-AU"/>
        </w:rPr>
        <w:br/>
        <w:t>The eligible employer must pay the eligible employee a minimum amount of $1,500 per fortnight.  These amounts can consist of:</w:t>
      </w:r>
    </w:p>
    <w:p w14:paraId="2321CF23" w14:textId="77777777" w:rsidR="00911F3B" w:rsidRPr="00911F3B" w:rsidRDefault="00911F3B" w:rsidP="00911F3B">
      <w:pPr>
        <w:numPr>
          <w:ilvl w:val="0"/>
          <w:numId w:val="5"/>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 xml:space="preserve">Salary, wages, commission, bonus or </w:t>
      </w:r>
      <w:proofErr w:type="gramStart"/>
      <w:r w:rsidRPr="00911F3B">
        <w:rPr>
          <w:rFonts w:eastAsia="Times New Roman" w:cstheme="minorHAnsi"/>
          <w:color w:val="333333"/>
          <w:lang w:eastAsia="en-AU"/>
        </w:rPr>
        <w:t>allowances;</w:t>
      </w:r>
      <w:proofErr w:type="gramEnd"/>
    </w:p>
    <w:p w14:paraId="6314451C" w14:textId="77777777" w:rsidR="00911F3B" w:rsidRPr="00911F3B" w:rsidRDefault="00911F3B" w:rsidP="00911F3B">
      <w:pPr>
        <w:numPr>
          <w:ilvl w:val="0"/>
          <w:numId w:val="5"/>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 xml:space="preserve">Amounts withheld by the employer, for example union </w:t>
      </w:r>
      <w:proofErr w:type="gramStart"/>
      <w:r w:rsidRPr="00911F3B">
        <w:rPr>
          <w:rFonts w:eastAsia="Times New Roman" w:cstheme="minorHAnsi"/>
          <w:color w:val="333333"/>
          <w:lang w:eastAsia="en-AU"/>
        </w:rPr>
        <w:t>dues;</w:t>
      </w:r>
      <w:proofErr w:type="gramEnd"/>
    </w:p>
    <w:p w14:paraId="1BAC2362" w14:textId="77777777" w:rsidR="00911F3B" w:rsidRPr="00911F3B" w:rsidRDefault="00911F3B" w:rsidP="00911F3B">
      <w:pPr>
        <w:numPr>
          <w:ilvl w:val="0"/>
          <w:numId w:val="5"/>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Superannuation contributions under a salary sacrifice arrangement; and</w:t>
      </w:r>
    </w:p>
    <w:p w14:paraId="35D622C5" w14:textId="77777777" w:rsidR="00911F3B" w:rsidRPr="00911F3B" w:rsidRDefault="00911F3B" w:rsidP="00911F3B">
      <w:pPr>
        <w:numPr>
          <w:ilvl w:val="0"/>
          <w:numId w:val="5"/>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Other amounts applied or dealt with as directed by the employee</w:t>
      </w:r>
    </w:p>
    <w:p w14:paraId="7300B3EF" w14:textId="02DF902E" w:rsidR="00911F3B" w:rsidRPr="00911F3B" w:rsidRDefault="00911F3B" w:rsidP="00911F3B">
      <w:pPr>
        <w:shd w:val="clear" w:color="auto" w:fill="FFFFFF"/>
        <w:spacing w:after="0" w:line="240" w:lineRule="auto"/>
        <w:textAlignment w:val="baseline"/>
        <w:rPr>
          <w:rFonts w:eastAsia="Times New Roman" w:cstheme="minorHAnsi"/>
          <w:color w:val="333333"/>
          <w:lang w:eastAsia="en-AU"/>
        </w:rPr>
      </w:pPr>
      <w:r w:rsidRPr="00911F3B">
        <w:rPr>
          <w:rFonts w:eastAsia="Times New Roman" w:cstheme="minorHAnsi"/>
          <w:b/>
          <w:bCs/>
          <w:color w:val="333333"/>
          <w:bdr w:val="none" w:sz="0" w:space="0" w:color="auto" w:frame="1"/>
          <w:lang w:eastAsia="en-AU"/>
        </w:rPr>
        <w:t>Sole traders and the self-employed</w:t>
      </w:r>
      <w:r w:rsidRPr="00911F3B">
        <w:rPr>
          <w:rFonts w:eastAsia="Times New Roman" w:cstheme="minorHAnsi"/>
          <w:color w:val="333333"/>
          <w:lang w:eastAsia="en-AU"/>
        </w:rPr>
        <w:br/>
        <w:t>Sole traders and individuals trading through interposed entities may be eligible for the payment provided they are </w:t>
      </w:r>
      <w:r w:rsidRPr="00911F3B">
        <w:rPr>
          <w:rFonts w:eastAsia="Times New Roman" w:cstheme="minorHAnsi"/>
          <w:i/>
          <w:iCs/>
          <w:color w:val="333333"/>
          <w:bdr w:val="none" w:sz="0" w:space="0" w:color="auto" w:frame="1"/>
          <w:lang w:eastAsia="en-AU"/>
        </w:rPr>
        <w:t>eligible employers</w:t>
      </w:r>
      <w:r w:rsidRPr="00911F3B">
        <w:rPr>
          <w:rFonts w:eastAsia="Times New Roman" w:cstheme="minorHAnsi"/>
          <w:color w:val="333333"/>
          <w:lang w:eastAsia="en-AU"/>
        </w:rPr>
        <w:t>, but the payment is restricted on </w:t>
      </w:r>
      <w:r w:rsidRPr="00911F3B">
        <w:rPr>
          <w:rFonts w:eastAsia="Times New Roman" w:cstheme="minorHAnsi"/>
          <w:b/>
          <w:bCs/>
          <w:color w:val="333333"/>
          <w:bdr w:val="none" w:sz="0" w:space="0" w:color="auto" w:frame="1"/>
          <w:lang w:eastAsia="en-AU"/>
        </w:rPr>
        <w:t>one nominated</w:t>
      </w:r>
      <w:r w:rsidRPr="00911F3B">
        <w:rPr>
          <w:rFonts w:eastAsia="Times New Roman" w:cstheme="minorHAnsi"/>
          <w:color w:val="333333"/>
          <w:lang w:eastAsia="en-AU"/>
        </w:rPr>
        <w:t> </w:t>
      </w:r>
      <w:r w:rsidRPr="00911F3B">
        <w:rPr>
          <w:rFonts w:eastAsia="Times New Roman" w:cstheme="minorHAnsi"/>
          <w:b/>
          <w:bCs/>
          <w:color w:val="333333"/>
          <w:bdr w:val="none" w:sz="0" w:space="0" w:color="auto" w:frame="1"/>
          <w:lang w:eastAsia="en-AU"/>
        </w:rPr>
        <w:t>individual</w:t>
      </w:r>
      <w:r w:rsidRPr="00911F3B">
        <w:rPr>
          <w:rFonts w:eastAsia="Times New Roman" w:cstheme="minorHAnsi"/>
          <w:color w:val="333333"/>
          <w:lang w:eastAsia="en-AU"/>
        </w:rPr>
        <w:t xml:space="preserve">. This ensures that certain persons who are not employees are entitled to the </w:t>
      </w:r>
      <w:proofErr w:type="spellStart"/>
      <w:r w:rsidRPr="00911F3B">
        <w:rPr>
          <w:rFonts w:eastAsia="Times New Roman" w:cstheme="minorHAnsi"/>
          <w:color w:val="333333"/>
          <w:lang w:eastAsia="en-AU"/>
        </w:rPr>
        <w:t>JobKeeper</w:t>
      </w:r>
      <w:proofErr w:type="spellEnd"/>
      <w:r w:rsidRPr="00911F3B">
        <w:rPr>
          <w:rFonts w:eastAsia="Times New Roman" w:cstheme="minorHAnsi"/>
          <w:color w:val="333333"/>
          <w:lang w:eastAsia="en-AU"/>
        </w:rPr>
        <w:t>. The following is a summary of the persons who may be nominated for the payment depending on the type of entity:</w:t>
      </w:r>
      <w:r w:rsidRPr="00911F3B">
        <w:rPr>
          <w:rFonts w:eastAsia="Times New Roman" w:cstheme="minorHAnsi"/>
          <w:color w:val="333333"/>
          <w:lang w:eastAsia="en-AU"/>
        </w:rPr>
        <w:br/>
        <w:t> </w:t>
      </w:r>
    </w:p>
    <w:p w14:paraId="7D03C5E4" w14:textId="77777777" w:rsidR="00911F3B" w:rsidRPr="00911F3B" w:rsidRDefault="00911F3B" w:rsidP="00911F3B">
      <w:pPr>
        <w:numPr>
          <w:ilvl w:val="0"/>
          <w:numId w:val="6"/>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Sole Trader – the individual</w:t>
      </w:r>
    </w:p>
    <w:p w14:paraId="14CBB597" w14:textId="77777777" w:rsidR="00911F3B" w:rsidRPr="00911F3B" w:rsidRDefault="00911F3B" w:rsidP="00911F3B">
      <w:pPr>
        <w:numPr>
          <w:ilvl w:val="0"/>
          <w:numId w:val="6"/>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Partnership – any one partner in the partnership</w:t>
      </w:r>
    </w:p>
    <w:p w14:paraId="66021BC6" w14:textId="77777777" w:rsidR="00911F3B" w:rsidRPr="00911F3B" w:rsidRDefault="00911F3B" w:rsidP="00911F3B">
      <w:pPr>
        <w:numPr>
          <w:ilvl w:val="0"/>
          <w:numId w:val="6"/>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Trust – any one adult beneficiary of the trust</w:t>
      </w:r>
    </w:p>
    <w:p w14:paraId="79F0646D" w14:textId="77777777" w:rsidR="00911F3B" w:rsidRPr="00911F3B" w:rsidRDefault="00911F3B" w:rsidP="00911F3B">
      <w:pPr>
        <w:numPr>
          <w:ilvl w:val="0"/>
          <w:numId w:val="6"/>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Company – one shareholder or director of the company</w:t>
      </w:r>
    </w:p>
    <w:p w14:paraId="1649A036" w14:textId="55AAF3CD" w:rsidR="00911F3B" w:rsidRPr="00911F3B" w:rsidRDefault="00911F3B" w:rsidP="00911F3B">
      <w:pPr>
        <w:shd w:val="clear" w:color="auto" w:fill="FFFFFF"/>
        <w:spacing w:after="0" w:line="240" w:lineRule="auto"/>
        <w:textAlignment w:val="baseline"/>
        <w:rPr>
          <w:rFonts w:eastAsia="Times New Roman" w:cstheme="minorHAnsi"/>
          <w:color w:val="333333"/>
          <w:lang w:eastAsia="en-AU"/>
        </w:rPr>
      </w:pPr>
      <w:r w:rsidRPr="00911F3B">
        <w:rPr>
          <w:rFonts w:eastAsia="Times New Roman" w:cstheme="minorHAnsi"/>
          <w:color w:val="333333"/>
          <w:lang w:eastAsia="en-AU"/>
        </w:rPr>
        <w:t> </w:t>
      </w:r>
      <w:r w:rsidRPr="00911F3B">
        <w:rPr>
          <w:rFonts w:eastAsia="Times New Roman" w:cstheme="minorHAnsi"/>
          <w:color w:val="333333"/>
          <w:lang w:eastAsia="en-AU"/>
        </w:rPr>
        <w:br/>
        <w:t>Note, the person nominated above must also be an eligible business participant and must also meet age and citizenship/visa requirements as outlined above. These payments are not applicable to persons who are employed by the interposed entity, for example if you receive a wage from the trust or company.</w:t>
      </w:r>
      <w:r w:rsidRPr="00911F3B">
        <w:rPr>
          <w:rFonts w:eastAsia="Times New Roman" w:cstheme="minorHAnsi"/>
          <w:color w:val="333333"/>
          <w:lang w:eastAsia="en-AU"/>
        </w:rPr>
        <w:br/>
        <w:t> </w:t>
      </w:r>
      <w:r w:rsidRPr="00911F3B">
        <w:rPr>
          <w:rFonts w:eastAsia="Times New Roman" w:cstheme="minorHAnsi"/>
          <w:color w:val="333333"/>
          <w:lang w:eastAsia="en-AU"/>
        </w:rPr>
        <w:br/>
        <w:t>An integrity rule is in place for the self-employed which states that the individual/entity is required to have an active ABN on 12 March 2020 (or a later time allowed by the ATO) and:</w:t>
      </w:r>
      <w:r w:rsidRPr="00911F3B">
        <w:rPr>
          <w:rFonts w:eastAsia="Times New Roman" w:cstheme="minorHAnsi"/>
          <w:color w:val="333333"/>
          <w:lang w:eastAsia="en-AU"/>
        </w:rPr>
        <w:br/>
        <w:t> </w:t>
      </w:r>
    </w:p>
    <w:p w14:paraId="2193FFC6" w14:textId="77777777" w:rsidR="00911F3B" w:rsidRPr="00911F3B" w:rsidRDefault="00911F3B" w:rsidP="00911F3B">
      <w:pPr>
        <w:numPr>
          <w:ilvl w:val="0"/>
          <w:numId w:val="7"/>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 xml:space="preserve">The individual/entity has disclosed some business income during the 2018-19 year, generally this would be </w:t>
      </w:r>
      <w:proofErr w:type="spellStart"/>
      <w:r w:rsidRPr="00911F3B">
        <w:rPr>
          <w:rFonts w:eastAsia="Times New Roman" w:cstheme="minorHAnsi"/>
          <w:color w:val="333333"/>
          <w:lang w:eastAsia="en-AU"/>
        </w:rPr>
        <w:t>lodgment</w:t>
      </w:r>
      <w:proofErr w:type="spellEnd"/>
      <w:r w:rsidRPr="00911F3B">
        <w:rPr>
          <w:rFonts w:eastAsia="Times New Roman" w:cstheme="minorHAnsi"/>
          <w:color w:val="333333"/>
          <w:lang w:eastAsia="en-AU"/>
        </w:rPr>
        <w:t xml:space="preserve"> of the 2019 income tax </w:t>
      </w:r>
      <w:proofErr w:type="gramStart"/>
      <w:r w:rsidRPr="00911F3B">
        <w:rPr>
          <w:rFonts w:eastAsia="Times New Roman" w:cstheme="minorHAnsi"/>
          <w:color w:val="333333"/>
          <w:lang w:eastAsia="en-AU"/>
        </w:rPr>
        <w:t>return;</w:t>
      </w:r>
      <w:proofErr w:type="gramEnd"/>
      <w:r w:rsidRPr="00911F3B">
        <w:rPr>
          <w:rFonts w:eastAsia="Times New Roman" w:cstheme="minorHAnsi"/>
          <w:color w:val="333333"/>
          <w:lang w:eastAsia="en-AU"/>
        </w:rPr>
        <w:t xml:space="preserve"> or</w:t>
      </w:r>
    </w:p>
    <w:p w14:paraId="45C825B2" w14:textId="77777777" w:rsidR="00911F3B" w:rsidRPr="00911F3B" w:rsidRDefault="00911F3B" w:rsidP="00911F3B">
      <w:pPr>
        <w:numPr>
          <w:ilvl w:val="0"/>
          <w:numId w:val="7"/>
        </w:numPr>
        <w:shd w:val="clear" w:color="auto" w:fill="FFFFFF"/>
        <w:spacing w:after="120" w:line="240" w:lineRule="auto"/>
        <w:ind w:left="240"/>
        <w:textAlignment w:val="baseline"/>
        <w:rPr>
          <w:rFonts w:eastAsia="Times New Roman" w:cstheme="minorHAnsi"/>
          <w:color w:val="333333"/>
          <w:lang w:eastAsia="en-AU"/>
        </w:rPr>
      </w:pPr>
      <w:r w:rsidRPr="00911F3B">
        <w:rPr>
          <w:rFonts w:eastAsia="Times New Roman" w:cstheme="minorHAnsi"/>
          <w:color w:val="333333"/>
          <w:lang w:eastAsia="en-AU"/>
        </w:rPr>
        <w:t>There is an activity statement lodged with the ATO between 1 July 2018 and 12 March 2020 disclosing a taxable supply, that is an amount at G1.</w:t>
      </w:r>
    </w:p>
    <w:p w14:paraId="00CA0B09" w14:textId="0E79F8E6" w:rsidR="00911F3B" w:rsidRPr="00911F3B" w:rsidRDefault="00911F3B" w:rsidP="0074753E">
      <w:pPr>
        <w:shd w:val="clear" w:color="auto" w:fill="FFFFFF"/>
        <w:spacing w:after="0" w:line="240" w:lineRule="auto"/>
        <w:textAlignment w:val="baseline"/>
        <w:rPr>
          <w:rFonts w:eastAsia="Times New Roman" w:cstheme="minorHAnsi"/>
          <w:color w:val="333333"/>
          <w:lang w:eastAsia="en-AU"/>
        </w:rPr>
      </w:pPr>
      <w:r w:rsidRPr="00911F3B">
        <w:rPr>
          <w:rFonts w:eastAsia="Times New Roman" w:cstheme="minorHAnsi"/>
          <w:color w:val="333333"/>
          <w:lang w:eastAsia="en-AU"/>
        </w:rPr>
        <w:t> </w:t>
      </w:r>
      <w:r w:rsidRPr="00911F3B">
        <w:rPr>
          <w:rFonts w:eastAsia="Times New Roman" w:cstheme="minorHAnsi"/>
          <w:color w:val="333333"/>
          <w:lang w:eastAsia="en-AU"/>
        </w:rPr>
        <w:br/>
        <w:t>Certain other exclusions may apply if the person is in receipt of parental pay, dad and partner pay or workers compensation.</w:t>
      </w:r>
      <w:r w:rsidRPr="00911F3B">
        <w:rPr>
          <w:rFonts w:eastAsia="Times New Roman" w:cstheme="minorHAnsi"/>
          <w:color w:val="333333"/>
          <w:lang w:eastAsia="en-AU"/>
        </w:rPr>
        <w:br/>
        <w:t> </w:t>
      </w:r>
      <w:r w:rsidRPr="00911F3B">
        <w:rPr>
          <w:rFonts w:eastAsia="Times New Roman" w:cstheme="minorHAnsi"/>
          <w:color w:val="333333"/>
          <w:lang w:eastAsia="en-AU"/>
        </w:rPr>
        <w:br/>
      </w:r>
      <w:r w:rsidR="0074753E">
        <w:rPr>
          <w:rFonts w:eastAsia="Times New Roman" w:cstheme="minorHAnsi"/>
          <w:b/>
          <w:bCs/>
          <w:color w:val="333333"/>
          <w:bdr w:val="none" w:sz="0" w:space="0" w:color="auto" w:frame="1"/>
          <w:lang w:eastAsia="en-AU"/>
        </w:rPr>
        <w:t xml:space="preserve">Note : </w:t>
      </w:r>
      <w:r w:rsidRPr="00911F3B">
        <w:rPr>
          <w:rFonts w:eastAsia="Times New Roman" w:cstheme="minorHAnsi"/>
          <w:color w:val="333333"/>
          <w:lang w:eastAsia="en-AU"/>
        </w:rPr>
        <w:t>There may be changes to the draft Rules put forward by the Treasurer.</w:t>
      </w:r>
      <w:r w:rsidRPr="00911F3B">
        <w:rPr>
          <w:rFonts w:eastAsia="Times New Roman" w:cstheme="minorHAnsi"/>
          <w:color w:val="333333"/>
          <w:lang w:eastAsia="en-AU"/>
        </w:rPr>
        <w:br/>
      </w:r>
      <w:r w:rsidRPr="00911F3B">
        <w:rPr>
          <w:rFonts w:eastAsia="Times New Roman" w:cstheme="minorHAnsi"/>
          <w:color w:val="333333"/>
          <w:lang w:eastAsia="en-AU"/>
        </w:rPr>
        <w:br/>
      </w:r>
    </w:p>
    <w:p w14:paraId="639BF56B" w14:textId="77777777" w:rsidR="00083A49" w:rsidRPr="0074753E" w:rsidRDefault="00083A49">
      <w:pPr>
        <w:rPr>
          <w:rFonts w:cstheme="minorHAnsi"/>
        </w:rPr>
      </w:pPr>
    </w:p>
    <w:sectPr w:rsidR="00083A49" w:rsidRPr="0074753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11FE" w14:textId="77777777" w:rsidR="004E4F59" w:rsidRDefault="004E4F59" w:rsidP="0074753E">
      <w:pPr>
        <w:spacing w:after="0" w:line="240" w:lineRule="auto"/>
      </w:pPr>
      <w:r>
        <w:separator/>
      </w:r>
    </w:p>
  </w:endnote>
  <w:endnote w:type="continuationSeparator" w:id="0">
    <w:p w14:paraId="5D4741D8" w14:textId="77777777" w:rsidR="004E4F59" w:rsidRDefault="004E4F59" w:rsidP="0074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7581"/>
      <w:docPartObj>
        <w:docPartGallery w:val="Page Numbers (Bottom of Page)"/>
        <w:docPartUnique/>
      </w:docPartObj>
    </w:sdtPr>
    <w:sdtEndPr>
      <w:rPr>
        <w:noProof/>
      </w:rPr>
    </w:sdtEndPr>
    <w:sdtContent>
      <w:p w14:paraId="22F7CD04" w14:textId="46327F39" w:rsidR="0074753E" w:rsidRDefault="007475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EF8EBF" w14:textId="77777777" w:rsidR="0074753E" w:rsidRDefault="0074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CFA51" w14:textId="77777777" w:rsidR="004E4F59" w:rsidRDefault="004E4F59" w:rsidP="0074753E">
      <w:pPr>
        <w:spacing w:after="0" w:line="240" w:lineRule="auto"/>
      </w:pPr>
      <w:r>
        <w:separator/>
      </w:r>
    </w:p>
  </w:footnote>
  <w:footnote w:type="continuationSeparator" w:id="0">
    <w:p w14:paraId="52EE97C6" w14:textId="77777777" w:rsidR="004E4F59" w:rsidRDefault="004E4F59" w:rsidP="00747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C2D27"/>
    <w:multiLevelType w:val="multilevel"/>
    <w:tmpl w:val="D3BA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A22D97"/>
    <w:multiLevelType w:val="multilevel"/>
    <w:tmpl w:val="626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AD60B3"/>
    <w:multiLevelType w:val="multilevel"/>
    <w:tmpl w:val="074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D00512"/>
    <w:multiLevelType w:val="multilevel"/>
    <w:tmpl w:val="7CDA5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3A0CE5"/>
    <w:multiLevelType w:val="multilevel"/>
    <w:tmpl w:val="B6FA4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3B"/>
    <w:rsid w:val="00083A49"/>
    <w:rsid w:val="001A4113"/>
    <w:rsid w:val="004E4F59"/>
    <w:rsid w:val="0074753E"/>
    <w:rsid w:val="00911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5B0E"/>
  <w15:chartTrackingRefBased/>
  <w15:docId w15:val="{7FC8E777-353F-442B-BD79-AE306F24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3E"/>
  </w:style>
  <w:style w:type="paragraph" w:styleId="Footer">
    <w:name w:val="footer"/>
    <w:basedOn w:val="Normal"/>
    <w:link w:val="FooterChar"/>
    <w:uiPriority w:val="99"/>
    <w:unhideWhenUsed/>
    <w:rsid w:val="00747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846389">
      <w:bodyDiv w:val="1"/>
      <w:marLeft w:val="0"/>
      <w:marRight w:val="0"/>
      <w:marTop w:val="0"/>
      <w:marBottom w:val="0"/>
      <w:divBdr>
        <w:top w:val="none" w:sz="0" w:space="0" w:color="auto"/>
        <w:left w:val="none" w:sz="0" w:space="0" w:color="auto"/>
        <w:bottom w:val="none" w:sz="0" w:space="0" w:color="auto"/>
        <w:right w:val="none" w:sz="0" w:space="0" w:color="auto"/>
      </w:divBdr>
      <w:divsChild>
        <w:div w:id="235013101">
          <w:marLeft w:val="0"/>
          <w:marRight w:val="0"/>
          <w:marTop w:val="0"/>
          <w:marBottom w:val="0"/>
          <w:divBdr>
            <w:top w:val="none" w:sz="0" w:space="0" w:color="auto"/>
            <w:left w:val="none" w:sz="0" w:space="0" w:color="auto"/>
            <w:bottom w:val="none" w:sz="0" w:space="0" w:color="auto"/>
            <w:right w:val="none" w:sz="0" w:space="0" w:color="auto"/>
          </w:divBdr>
        </w:div>
        <w:div w:id="531261300">
          <w:marLeft w:val="0"/>
          <w:marRight w:val="0"/>
          <w:marTop w:val="0"/>
          <w:marBottom w:val="0"/>
          <w:divBdr>
            <w:top w:val="dashed" w:sz="12" w:space="12" w:color="EAEAEA"/>
            <w:left w:val="none" w:sz="0" w:space="24" w:color="auto"/>
            <w:bottom w:val="dashed" w:sz="12" w:space="12" w:color="EAEAE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Henderson</dc:creator>
  <cp:keywords/>
  <dc:description/>
  <cp:lastModifiedBy>Kim Shaw</cp:lastModifiedBy>
  <cp:revision>2</cp:revision>
  <dcterms:created xsi:type="dcterms:W3CDTF">2020-04-15T02:32:00Z</dcterms:created>
  <dcterms:modified xsi:type="dcterms:W3CDTF">2020-04-15T02:32:00Z</dcterms:modified>
</cp:coreProperties>
</file>